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6A" w:rsidRDefault="00DF5F6A" w:rsidP="00DF5F6A">
      <w:pPr>
        <w:pStyle w:val="Nagwek3"/>
        <w:spacing w:before="0" w:after="0"/>
        <w:jc w:val="center"/>
        <w:rPr>
          <w:rFonts w:ascii="Neo Sans Pro" w:hAnsi="Neo Sans Pro"/>
          <w:color w:val="auto"/>
          <w:sz w:val="40"/>
          <w:szCs w:val="40"/>
        </w:rPr>
      </w:pPr>
      <w:r>
        <w:rPr>
          <w:rFonts w:ascii="Neo Sans Pro" w:hAnsi="Neo Sans Pro"/>
          <w:color w:val="auto"/>
          <w:sz w:val="40"/>
          <w:szCs w:val="40"/>
        </w:rPr>
        <w:t>ODPOWIEDŹ NA ODWOŁANIE</w:t>
      </w:r>
    </w:p>
    <w:p w:rsidR="00DF5F6A" w:rsidRDefault="00DF5F6A" w:rsidP="00DF5F6A">
      <w:pPr>
        <w:spacing w:after="0" w:line="240" w:lineRule="auto"/>
        <w:jc w:val="center"/>
        <w:rPr>
          <w:rFonts w:ascii="Neo Sans Pro" w:hAnsi="Neo Sans Pro" w:cs="Times New Roman"/>
          <w:u w:val="single"/>
        </w:rPr>
      </w:pPr>
      <w:r>
        <w:rPr>
          <w:rFonts w:ascii="Neo Sans Pro" w:hAnsi="Neo Sans Pro" w:cs="Times New Roman"/>
          <w:i/>
          <w:iCs/>
        </w:rPr>
        <w:t>(strona internetowa prowadzonego postępowania)</w:t>
      </w:r>
    </w:p>
    <w:p w:rsidR="00DF5F6A" w:rsidRDefault="00DF5F6A" w:rsidP="00DF5F6A">
      <w:pPr>
        <w:pStyle w:val="Tekstpodstawowy"/>
        <w:tabs>
          <w:tab w:val="center" w:pos="4536"/>
          <w:tab w:val="right" w:pos="9072"/>
        </w:tabs>
        <w:ind w:right="0"/>
        <w:rPr>
          <w:rFonts w:ascii="Neo Sans Pro" w:hAnsi="Neo Sans Pro" w:cs="Arial"/>
          <w:szCs w:val="24"/>
        </w:rPr>
      </w:pPr>
    </w:p>
    <w:p w:rsidR="00DF5F6A" w:rsidRDefault="00DF5F6A" w:rsidP="00DF5F6A">
      <w:pPr>
        <w:spacing w:after="0" w:line="240" w:lineRule="atLeast"/>
        <w:ind w:right="-57"/>
        <w:jc w:val="both"/>
        <w:rPr>
          <w:rFonts w:ascii="Neo Sans Pro" w:hAnsi="Neo Sans Pro"/>
          <w:b/>
          <w:bCs/>
          <w:color w:val="000000"/>
          <w:sz w:val="20"/>
          <w:szCs w:val="20"/>
          <w:lang w:val="en-US"/>
        </w:rPr>
      </w:pPr>
      <w:r>
        <w:rPr>
          <w:rFonts w:ascii="Neo Sans Pro" w:eastAsia="Times New Roman" w:hAnsi="Neo Sans Pro" w:cs="Arial"/>
          <w:sz w:val="24"/>
          <w:szCs w:val="24"/>
          <w:lang w:eastAsia="en-US"/>
        </w:rPr>
        <w:t xml:space="preserve">    </w:t>
      </w:r>
      <w:r>
        <w:rPr>
          <w:rFonts w:ascii="Neo Sans Pro" w:eastAsia="Times New Roman" w:hAnsi="Neo Sans Pro" w:cs="Arial"/>
          <w:sz w:val="24"/>
          <w:szCs w:val="24"/>
          <w:lang w:eastAsia="en-US"/>
        </w:rPr>
        <w:tab/>
      </w:r>
      <w:r>
        <w:rPr>
          <w:rFonts w:ascii="Neo Sans Pro" w:eastAsia="Times New Roman" w:hAnsi="Neo Sans Pro" w:cs="Arial"/>
          <w:sz w:val="24"/>
          <w:szCs w:val="24"/>
          <w:lang w:eastAsia="en-US"/>
        </w:rPr>
        <w:tab/>
      </w: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 xml:space="preserve">      </w:t>
      </w:r>
    </w:p>
    <w:p w:rsidR="00DF5F6A" w:rsidRDefault="00DF5F6A" w:rsidP="00DF5F6A">
      <w:pPr>
        <w:numPr>
          <w:ilvl w:val="0"/>
          <w:numId w:val="1"/>
        </w:numPr>
        <w:tabs>
          <w:tab w:val="clear" w:pos="360"/>
          <w:tab w:val="num" w:pos="567"/>
          <w:tab w:val="left" w:pos="960"/>
        </w:tabs>
        <w:spacing w:after="120"/>
        <w:ind w:left="567" w:hanging="567"/>
        <w:jc w:val="both"/>
        <w:rPr>
          <w:rFonts w:ascii="Neo Sans Pro" w:hAnsi="Neo Sans Pro"/>
          <w:color w:val="000000"/>
          <w:sz w:val="20"/>
          <w:szCs w:val="20"/>
        </w:rPr>
      </w:pPr>
      <w:r>
        <w:rPr>
          <w:rFonts w:ascii="Neo Sans Pro" w:hAnsi="Neo Sans Pro"/>
          <w:color w:val="000000"/>
          <w:sz w:val="20"/>
          <w:szCs w:val="20"/>
        </w:rPr>
        <w:t xml:space="preserve">Działając na podstawie przepisu art. 521 ust. 1 i 2 ustawy z dnia 11 września 2019 roku - Prawo zamówień publicznych, zwanej dalej </w:t>
      </w:r>
      <w:r>
        <w:rPr>
          <w:rFonts w:ascii="Neo Sans Pro" w:hAnsi="Neo Sans Pro"/>
          <w:i/>
          <w:color w:val="000000"/>
          <w:sz w:val="20"/>
          <w:szCs w:val="20"/>
        </w:rPr>
        <w:t>„ustawą”</w:t>
      </w:r>
      <w:r>
        <w:rPr>
          <w:rFonts w:ascii="Neo Sans Pro" w:hAnsi="Neo Sans Pro"/>
          <w:color w:val="000000"/>
          <w:sz w:val="20"/>
          <w:szCs w:val="20"/>
        </w:rPr>
        <w:t xml:space="preserve"> lub </w:t>
      </w:r>
      <w:r>
        <w:rPr>
          <w:rFonts w:ascii="Neo Sans Pro" w:hAnsi="Neo Sans Pro"/>
          <w:i/>
          <w:color w:val="000000"/>
          <w:sz w:val="20"/>
          <w:szCs w:val="20"/>
        </w:rPr>
        <w:t>„</w:t>
      </w:r>
      <w:proofErr w:type="spellStart"/>
      <w:r>
        <w:rPr>
          <w:rFonts w:ascii="Neo Sans Pro" w:hAnsi="Neo Sans Pro"/>
          <w:i/>
          <w:color w:val="000000"/>
          <w:sz w:val="20"/>
          <w:szCs w:val="20"/>
        </w:rPr>
        <w:t>Pzp</w:t>
      </w:r>
      <w:proofErr w:type="spellEnd"/>
      <w:r>
        <w:rPr>
          <w:rFonts w:ascii="Neo Sans Pro" w:hAnsi="Neo Sans Pro"/>
          <w:i/>
          <w:color w:val="000000"/>
          <w:sz w:val="20"/>
          <w:szCs w:val="20"/>
        </w:rPr>
        <w:t>”</w:t>
      </w:r>
      <w:r>
        <w:rPr>
          <w:rFonts w:ascii="Neo Sans Pro" w:hAnsi="Neo Sans Pro"/>
          <w:color w:val="000000"/>
          <w:sz w:val="20"/>
          <w:szCs w:val="20"/>
        </w:rPr>
        <w:t>, wnoszę odpowiedź na odwołanie wykonawcy Strabag sp. z o.o. (dalej: „</w:t>
      </w:r>
      <w:r>
        <w:rPr>
          <w:rFonts w:ascii="Neo Sans Pro" w:hAnsi="Neo Sans Pro"/>
          <w:i/>
          <w:iCs/>
          <w:color w:val="000000"/>
          <w:sz w:val="20"/>
          <w:szCs w:val="20"/>
        </w:rPr>
        <w:t>Odwołujący”</w:t>
      </w:r>
      <w:r>
        <w:rPr>
          <w:rFonts w:ascii="Neo Sans Pro" w:hAnsi="Neo Sans Pro"/>
          <w:color w:val="000000"/>
          <w:sz w:val="20"/>
          <w:szCs w:val="20"/>
        </w:rPr>
        <w:t xml:space="preserve">), </w:t>
      </w:r>
      <w:r>
        <w:rPr>
          <w:rFonts w:ascii="Neo Sans Pro" w:eastAsia="Times New Roman" w:hAnsi="Neo Sans Pro"/>
          <w:color w:val="000000"/>
          <w:sz w:val="20"/>
          <w:szCs w:val="20"/>
        </w:rPr>
        <w:t xml:space="preserve">w postępowaniu o udzielenie zamówienia publicznego, którego przedmiotem jest </w:t>
      </w:r>
      <w:r>
        <w:rPr>
          <w:rFonts w:ascii="Neo Sans Pro" w:eastAsia="Times New Roman" w:hAnsi="Neo Sans Pro"/>
          <w:i/>
          <w:iCs/>
          <w:color w:val="000000"/>
          <w:sz w:val="20"/>
          <w:szCs w:val="20"/>
        </w:rPr>
        <w:t xml:space="preserve">„Rozbudowa i modernizacja drogi wojewódzkiej </w:t>
      </w:r>
      <w:r>
        <w:rPr>
          <w:rFonts w:ascii="Neo Sans Pro" w:eastAsia="Times New Roman" w:hAnsi="Neo Sans Pro"/>
          <w:i/>
          <w:iCs/>
          <w:color w:val="000000"/>
          <w:sz w:val="20"/>
          <w:szCs w:val="20"/>
        </w:rPr>
        <w:br/>
        <w:t>ul. Warszawskiej w Radomiu od ronda NSZ do granic miasta</w:t>
      </w:r>
      <w:r>
        <w:rPr>
          <w:rFonts w:ascii="Neo Sans Pro" w:eastAsia="Times New Roman" w:hAnsi="Neo Sans Pro"/>
          <w:color w:val="000000"/>
          <w:sz w:val="20"/>
          <w:szCs w:val="20"/>
        </w:rPr>
        <w:t xml:space="preserve">”, numer referencyjny: NZ.2603.53.2022, dalej: </w:t>
      </w:r>
      <w:r>
        <w:rPr>
          <w:rFonts w:ascii="Neo Sans Pro" w:eastAsia="Times New Roman" w:hAnsi="Neo Sans Pro"/>
          <w:i/>
          <w:iCs/>
          <w:color w:val="000000"/>
          <w:sz w:val="20"/>
          <w:szCs w:val="20"/>
        </w:rPr>
        <w:t>„Postępowanie”.</w:t>
      </w:r>
    </w:p>
    <w:p w:rsidR="00DF5F6A" w:rsidRDefault="00DF5F6A" w:rsidP="00DF5F6A">
      <w:pPr>
        <w:numPr>
          <w:ilvl w:val="0"/>
          <w:numId w:val="1"/>
        </w:numPr>
        <w:tabs>
          <w:tab w:val="clear" w:pos="360"/>
          <w:tab w:val="num" w:pos="567"/>
          <w:tab w:val="left" w:pos="960"/>
        </w:tabs>
        <w:spacing w:after="120"/>
        <w:ind w:left="567" w:hanging="567"/>
        <w:jc w:val="both"/>
        <w:rPr>
          <w:rFonts w:ascii="Neo Sans Pro" w:hAnsi="Neo Sans Pro"/>
          <w:color w:val="000000"/>
          <w:sz w:val="20"/>
          <w:szCs w:val="20"/>
          <w:lang w:eastAsia="de-DE"/>
        </w:rPr>
      </w:pPr>
      <w:r>
        <w:rPr>
          <w:rFonts w:ascii="Neo Sans Pro" w:hAnsi="Neo Sans Pro"/>
          <w:b/>
          <w:bCs/>
          <w:color w:val="000000"/>
          <w:sz w:val="20"/>
          <w:szCs w:val="20"/>
        </w:rPr>
        <w:t>Zamawiający uwzględnia odwołanie w całości.</w:t>
      </w:r>
    </w:p>
    <w:p w:rsidR="00DF5F6A" w:rsidRDefault="00DF5F6A" w:rsidP="00DF5F6A">
      <w:pPr>
        <w:numPr>
          <w:ilvl w:val="0"/>
          <w:numId w:val="1"/>
        </w:numPr>
        <w:tabs>
          <w:tab w:val="clear" w:pos="360"/>
          <w:tab w:val="num" w:pos="567"/>
          <w:tab w:val="left" w:pos="960"/>
        </w:tabs>
        <w:spacing w:after="120"/>
        <w:ind w:left="567" w:hanging="567"/>
        <w:jc w:val="both"/>
        <w:rPr>
          <w:rFonts w:ascii="Neo Sans Pro" w:hAnsi="Neo Sans Pro"/>
          <w:color w:val="000000"/>
          <w:sz w:val="20"/>
          <w:szCs w:val="20"/>
          <w:lang w:eastAsia="de-DE"/>
        </w:rPr>
      </w:pPr>
      <w:r>
        <w:rPr>
          <w:rFonts w:ascii="Neo Sans Pro" w:hAnsi="Neo Sans Pro"/>
          <w:color w:val="000000"/>
          <w:sz w:val="20"/>
          <w:szCs w:val="20"/>
          <w:lang w:eastAsia="de-DE"/>
        </w:rPr>
        <w:t xml:space="preserve">Zgodnie z żądaniem zawartym w odwołaniu </w:t>
      </w:r>
      <w:r>
        <w:rPr>
          <w:rFonts w:ascii="Neo Sans Pro" w:eastAsia="Arial" w:hAnsi="Neo Sans Pro"/>
          <w:color w:val="000000"/>
          <w:sz w:val="20"/>
          <w:szCs w:val="20"/>
        </w:rPr>
        <w:t xml:space="preserve">Zamawiający zmieni </w:t>
      </w:r>
      <w:proofErr w:type="spellStart"/>
      <w:r>
        <w:rPr>
          <w:rFonts w:ascii="Neo Sans Pro" w:eastAsia="Arial" w:hAnsi="Neo Sans Pro"/>
          <w:color w:val="000000"/>
          <w:sz w:val="20"/>
          <w:szCs w:val="20"/>
        </w:rPr>
        <w:t>pkt</w:t>
      </w:r>
      <w:proofErr w:type="spellEnd"/>
      <w:r>
        <w:rPr>
          <w:rFonts w:ascii="Neo Sans Pro" w:eastAsia="Arial" w:hAnsi="Neo Sans Pro"/>
          <w:color w:val="000000"/>
          <w:sz w:val="20"/>
          <w:szCs w:val="20"/>
        </w:rPr>
        <w:t xml:space="preserve"> XVIII SWZ w zakresie:</w:t>
      </w:r>
    </w:p>
    <w:p w:rsidR="00DF5F6A" w:rsidRDefault="00DF5F6A" w:rsidP="00DF5F6A">
      <w:pPr>
        <w:numPr>
          <w:ilvl w:val="0"/>
          <w:numId w:val="2"/>
        </w:numPr>
        <w:tabs>
          <w:tab w:val="clear" w:pos="288"/>
          <w:tab w:val="left" w:pos="792"/>
        </w:tabs>
        <w:spacing w:before="120" w:after="0" w:line="303" w:lineRule="exact"/>
        <w:ind w:left="792" w:right="72" w:hanging="288"/>
        <w:jc w:val="both"/>
        <w:textAlignment w:val="baseline"/>
        <w:rPr>
          <w:rFonts w:ascii="Neo Sans Pro" w:eastAsia="Arial" w:hAnsi="Neo Sans Pro"/>
          <w:color w:val="000000"/>
          <w:sz w:val="20"/>
          <w:szCs w:val="20"/>
          <w:lang w:eastAsia="en-US"/>
        </w:rPr>
      </w:pPr>
      <w:r>
        <w:rPr>
          <w:rFonts w:ascii="Neo Sans Pro" w:eastAsia="Arial" w:hAnsi="Neo Sans Pro"/>
          <w:color w:val="000000"/>
          <w:sz w:val="20"/>
          <w:szCs w:val="20"/>
        </w:rPr>
        <w:t>kryterium dot. kwalifikacji i doświadczenia zawodowego osoby wyznaczonej na stanowisko kierownika budowy i kierownika robót drogowych</w:t>
      </w:r>
    </w:p>
    <w:p w:rsidR="00DF5F6A" w:rsidRDefault="00DF5F6A" w:rsidP="00DF5F6A">
      <w:pPr>
        <w:numPr>
          <w:ilvl w:val="0"/>
          <w:numId w:val="2"/>
        </w:numPr>
        <w:tabs>
          <w:tab w:val="clear" w:pos="288"/>
          <w:tab w:val="left" w:pos="792"/>
        </w:tabs>
        <w:spacing w:after="0" w:line="303" w:lineRule="exact"/>
        <w:ind w:left="792" w:right="72" w:hanging="288"/>
        <w:jc w:val="both"/>
        <w:textAlignment w:val="baseline"/>
        <w:rPr>
          <w:rFonts w:ascii="Neo Sans Pro" w:eastAsia="Arial" w:hAnsi="Neo Sans Pro"/>
          <w:color w:val="000000"/>
          <w:sz w:val="20"/>
          <w:szCs w:val="20"/>
        </w:rPr>
      </w:pPr>
      <w:r>
        <w:rPr>
          <w:rFonts w:ascii="Neo Sans Pro" w:eastAsia="Arial" w:hAnsi="Neo Sans Pro"/>
          <w:color w:val="000000"/>
          <w:sz w:val="20"/>
          <w:szCs w:val="20"/>
        </w:rPr>
        <w:t>kryterium dot. kwalifikacji i doświadczenia zawodowego osoby wyznaczonej na stanowisko projektanta/koordynatora</w:t>
      </w:r>
    </w:p>
    <w:p w:rsidR="00DF5F6A" w:rsidRDefault="00DF5F6A" w:rsidP="00DF5F6A">
      <w:pPr>
        <w:spacing w:before="120" w:line="288" w:lineRule="exact"/>
        <w:ind w:left="567" w:right="72"/>
        <w:textAlignment w:val="baseline"/>
        <w:rPr>
          <w:rFonts w:ascii="Neo Sans Pro" w:eastAsia="Arial" w:hAnsi="Neo Sans Pro"/>
          <w:color w:val="000000"/>
          <w:sz w:val="20"/>
          <w:szCs w:val="20"/>
        </w:rPr>
      </w:pPr>
      <w:r>
        <w:rPr>
          <w:rFonts w:ascii="Neo Sans Pro" w:eastAsia="Arial" w:hAnsi="Neo Sans Pro"/>
          <w:color w:val="000000"/>
          <w:sz w:val="20"/>
          <w:szCs w:val="20"/>
        </w:rPr>
        <w:t xml:space="preserve">poprzez doprecyzowanie doświadczenia osób wskazanych na ww. stanowiska punktowanego </w:t>
      </w:r>
      <w:r>
        <w:rPr>
          <w:rFonts w:ascii="Neo Sans Pro" w:eastAsia="Arial" w:hAnsi="Neo Sans Pro"/>
          <w:color w:val="000000"/>
          <w:sz w:val="20"/>
          <w:szCs w:val="20"/>
        </w:rPr>
        <w:br/>
        <w:t xml:space="preserve">w ramach przyjętego w postępowaniu </w:t>
      </w:r>
      <w:proofErr w:type="spellStart"/>
      <w:r>
        <w:rPr>
          <w:rFonts w:ascii="Neo Sans Pro" w:eastAsia="Arial" w:hAnsi="Neo Sans Pro"/>
          <w:color w:val="000000"/>
          <w:sz w:val="20"/>
          <w:szCs w:val="20"/>
        </w:rPr>
        <w:t>pozacenowego</w:t>
      </w:r>
      <w:proofErr w:type="spellEnd"/>
      <w:r>
        <w:rPr>
          <w:rFonts w:ascii="Neo Sans Pro" w:eastAsia="Arial" w:hAnsi="Neo Sans Pro"/>
          <w:color w:val="000000"/>
          <w:sz w:val="20"/>
          <w:szCs w:val="20"/>
        </w:rPr>
        <w:t xml:space="preserve"> kryterium oceny ofert, </w:t>
      </w:r>
      <w:r>
        <w:rPr>
          <w:rFonts w:ascii="Neo Sans Pro" w:eastAsia="Arial" w:hAnsi="Neo Sans Pro"/>
          <w:color w:val="000000"/>
          <w:sz w:val="20"/>
          <w:szCs w:val="20"/>
        </w:rPr>
        <w:br/>
        <w:t>tj. określenie, że:</w:t>
      </w:r>
    </w:p>
    <w:p w:rsidR="00DF5F6A" w:rsidRDefault="00DF5F6A" w:rsidP="00DF5F6A">
      <w:pPr>
        <w:spacing w:before="385" w:after="0" w:line="280" w:lineRule="atLeast"/>
        <w:ind w:left="788" w:right="74" w:hanging="357"/>
        <w:jc w:val="both"/>
        <w:textAlignment w:val="baseline"/>
        <w:rPr>
          <w:rFonts w:ascii="Neo Sans Pro" w:eastAsia="Arial" w:hAnsi="Neo Sans Pro"/>
          <w:bCs/>
          <w:color w:val="000000"/>
          <w:sz w:val="20"/>
          <w:szCs w:val="20"/>
        </w:rPr>
      </w:pPr>
      <w:r>
        <w:rPr>
          <w:rFonts w:ascii="Neo Sans Pro" w:eastAsia="Arial" w:hAnsi="Neo Sans Pro"/>
          <w:color w:val="000000"/>
          <w:sz w:val="20"/>
          <w:szCs w:val="20"/>
        </w:rPr>
        <w:t xml:space="preserve">a) </w:t>
      </w:r>
      <w:r>
        <w:rPr>
          <w:rFonts w:ascii="Neo Sans Pro" w:eastAsia="Arial" w:hAnsi="Neo Sans Pro"/>
          <w:bCs/>
          <w:color w:val="000000"/>
          <w:sz w:val="20"/>
          <w:szCs w:val="20"/>
        </w:rPr>
        <w:t xml:space="preserve">punkty w ramach kryterium oceny ofert dot. kwalifikacji i doświadczenia zawodowego osoby wyznaczonej na stanowisko kierownika budowy i kierownika robót drogowych przyznawane będą za doświadczenie w pełnieniu funkcji Kierownika budowy lub Kierownika Robót przy realizacji robót budowlanych (i) o wartości co najmniej 20.000.000 PLN brutto każda (ii) polegających na budowie lub przebudowie drogi klasy </w:t>
      </w:r>
      <w:r>
        <w:rPr>
          <w:rFonts w:ascii="Neo Sans Pro" w:hAnsi="Neo Sans Pro" w:cs="Calibri"/>
          <w:b/>
          <w:sz w:val="20"/>
          <w:szCs w:val="20"/>
        </w:rPr>
        <w:t xml:space="preserve">A, S, </w:t>
      </w:r>
      <w:proofErr w:type="spellStart"/>
      <w:r>
        <w:rPr>
          <w:rFonts w:ascii="Neo Sans Pro" w:hAnsi="Neo Sans Pro" w:cs="Calibri"/>
          <w:b/>
          <w:sz w:val="20"/>
          <w:szCs w:val="20"/>
        </w:rPr>
        <w:t>Gp</w:t>
      </w:r>
      <w:proofErr w:type="spellEnd"/>
      <w:r>
        <w:rPr>
          <w:rFonts w:ascii="Neo Sans Pro" w:hAnsi="Neo Sans Pro" w:cs="Calibri"/>
          <w:b/>
          <w:sz w:val="20"/>
          <w:szCs w:val="20"/>
        </w:rPr>
        <w:t>, G lub Z</w:t>
      </w:r>
      <w:r>
        <w:rPr>
          <w:rFonts w:ascii="Neo Sans Pro" w:eastAsia="Arial" w:hAnsi="Neo Sans Pro"/>
          <w:bCs/>
          <w:color w:val="000000"/>
          <w:sz w:val="20"/>
          <w:szCs w:val="20"/>
        </w:rPr>
        <w:t xml:space="preserve"> prowadzonych </w:t>
      </w:r>
      <w:r>
        <w:rPr>
          <w:rFonts w:ascii="Neo Sans Pro" w:eastAsia="Arial" w:hAnsi="Neo Sans Pro"/>
          <w:bCs/>
          <w:color w:val="000000"/>
          <w:sz w:val="20"/>
          <w:szCs w:val="20"/>
        </w:rPr>
        <w:br/>
        <w:t>w terenie miejskim. Zamawiający przyzna poniższą ilość punktów</w:t>
      </w:r>
      <w:r>
        <w:rPr>
          <w:rFonts w:ascii="Neo Sans Pro" w:eastAsia="Arial" w:hAnsi="Neo Sans Pro"/>
          <w:bCs/>
          <w:color w:val="000000"/>
          <w:sz w:val="20"/>
          <w:szCs w:val="20"/>
          <w:vertAlign w:val="superscript"/>
        </w:rPr>
        <w:t>.</w:t>
      </w:r>
      <w:r>
        <w:rPr>
          <w:rFonts w:ascii="Neo Sans Pro" w:eastAsia="Arial" w:hAnsi="Neo Sans Pro"/>
          <w:bCs/>
          <w:color w:val="000000"/>
          <w:sz w:val="20"/>
          <w:szCs w:val="20"/>
        </w:rPr>
        <w:t xml:space="preserve"> </w:t>
      </w:r>
    </w:p>
    <w:p w:rsidR="00DF5F6A" w:rsidRDefault="00DF5F6A" w:rsidP="00DF5F6A">
      <w:pPr>
        <w:numPr>
          <w:ilvl w:val="0"/>
          <w:numId w:val="3"/>
        </w:numPr>
        <w:tabs>
          <w:tab w:val="clear" w:pos="432"/>
          <w:tab w:val="left" w:pos="1512"/>
        </w:tabs>
        <w:spacing w:before="92" w:after="0" w:line="240" w:lineRule="atLeast"/>
        <w:ind w:left="1080" w:right="74"/>
        <w:textAlignment w:val="baseline"/>
        <w:rPr>
          <w:rFonts w:ascii="Neo Sans Pro" w:eastAsia="Arial" w:hAnsi="Neo Sans Pro"/>
          <w:bCs/>
          <w:color w:val="000000"/>
          <w:spacing w:val="-4"/>
          <w:sz w:val="20"/>
          <w:szCs w:val="20"/>
        </w:rPr>
      </w:pPr>
      <w:r>
        <w:rPr>
          <w:rFonts w:ascii="Neo Sans Pro" w:eastAsia="Arial" w:hAnsi="Neo Sans Pro"/>
          <w:bCs/>
          <w:color w:val="000000"/>
          <w:spacing w:val="-4"/>
          <w:sz w:val="20"/>
          <w:szCs w:val="20"/>
        </w:rPr>
        <w:t xml:space="preserve">za 1 zadanie — 5 </w:t>
      </w:r>
      <w:proofErr w:type="spellStart"/>
      <w:r>
        <w:rPr>
          <w:rFonts w:ascii="Neo Sans Pro" w:eastAsia="Arial" w:hAnsi="Neo Sans Pro"/>
          <w:bCs/>
          <w:color w:val="000000"/>
          <w:spacing w:val="-4"/>
          <w:sz w:val="20"/>
          <w:szCs w:val="20"/>
        </w:rPr>
        <w:t>pkt</w:t>
      </w:r>
      <w:proofErr w:type="spellEnd"/>
    </w:p>
    <w:p w:rsidR="00DF5F6A" w:rsidRDefault="00DF5F6A" w:rsidP="00DF5F6A">
      <w:pPr>
        <w:numPr>
          <w:ilvl w:val="0"/>
          <w:numId w:val="3"/>
        </w:numPr>
        <w:tabs>
          <w:tab w:val="clear" w:pos="432"/>
          <w:tab w:val="left" w:pos="1512"/>
        </w:tabs>
        <w:spacing w:before="83" w:after="0" w:line="240" w:lineRule="atLeast"/>
        <w:ind w:left="1080" w:right="74"/>
        <w:textAlignment w:val="baseline"/>
        <w:rPr>
          <w:rFonts w:ascii="Neo Sans Pro" w:eastAsia="Arial" w:hAnsi="Neo Sans Pro"/>
          <w:bCs/>
          <w:color w:val="000000"/>
          <w:spacing w:val="-3"/>
          <w:sz w:val="20"/>
          <w:szCs w:val="20"/>
        </w:rPr>
      </w:pPr>
      <w:r>
        <w:rPr>
          <w:rFonts w:ascii="Neo Sans Pro" w:eastAsia="Arial" w:hAnsi="Neo Sans Pro"/>
          <w:bCs/>
          <w:color w:val="000000"/>
          <w:spacing w:val="-3"/>
          <w:sz w:val="20"/>
          <w:szCs w:val="20"/>
        </w:rPr>
        <w:t xml:space="preserve">za 2 i więcej zadań — 10 </w:t>
      </w:r>
      <w:proofErr w:type="spellStart"/>
      <w:r>
        <w:rPr>
          <w:rFonts w:ascii="Neo Sans Pro" w:eastAsia="Arial" w:hAnsi="Neo Sans Pro"/>
          <w:bCs/>
          <w:color w:val="000000"/>
          <w:spacing w:val="-3"/>
          <w:sz w:val="20"/>
          <w:szCs w:val="20"/>
        </w:rPr>
        <w:t>pkt</w:t>
      </w:r>
      <w:proofErr w:type="spellEnd"/>
    </w:p>
    <w:p w:rsidR="00DF5F6A" w:rsidRDefault="00DF5F6A" w:rsidP="00DF5F6A">
      <w:pPr>
        <w:spacing w:before="232" w:after="0" w:line="280" w:lineRule="atLeast"/>
        <w:ind w:left="714" w:right="74" w:hanging="357"/>
        <w:jc w:val="both"/>
        <w:textAlignment w:val="baseline"/>
        <w:rPr>
          <w:rFonts w:ascii="Neo Sans Pro" w:eastAsia="Arial" w:hAnsi="Neo Sans Pro"/>
          <w:color w:val="000000"/>
          <w:sz w:val="20"/>
          <w:szCs w:val="20"/>
        </w:rPr>
      </w:pPr>
      <w:r>
        <w:rPr>
          <w:rFonts w:ascii="Neo Sans Pro" w:eastAsia="Arial" w:hAnsi="Neo Sans Pro"/>
          <w:color w:val="000000"/>
          <w:sz w:val="20"/>
          <w:szCs w:val="20"/>
        </w:rPr>
        <w:t xml:space="preserve">b) punkty w ramach kryterium oceny ofert dot. kwalifikacji i doświadczenia zawodowego osoby wyznaczonej na stanowisko projektanta/koordynatora przyznawane będą za doświadczenie zawodowe związane z koordynacją prac projektowych i wykonawczych na zadaniu w formule „zaprojektuj i buduj", które zostało zakończone a którego przedmiotem była budowa lub przebudowa dróg klasy </w:t>
      </w:r>
      <w:r>
        <w:rPr>
          <w:rFonts w:ascii="Neo Sans Pro" w:hAnsi="Neo Sans Pro" w:cs="Calibri"/>
          <w:b/>
          <w:sz w:val="20"/>
          <w:szCs w:val="20"/>
        </w:rPr>
        <w:t xml:space="preserve">A, S, </w:t>
      </w:r>
      <w:proofErr w:type="spellStart"/>
      <w:r>
        <w:rPr>
          <w:rFonts w:ascii="Neo Sans Pro" w:hAnsi="Neo Sans Pro" w:cs="Calibri"/>
          <w:b/>
          <w:sz w:val="20"/>
          <w:szCs w:val="20"/>
        </w:rPr>
        <w:t>Gp</w:t>
      </w:r>
      <w:proofErr w:type="spellEnd"/>
      <w:r>
        <w:rPr>
          <w:rFonts w:ascii="Neo Sans Pro" w:hAnsi="Neo Sans Pro" w:cs="Calibri"/>
          <w:b/>
          <w:sz w:val="20"/>
          <w:szCs w:val="20"/>
        </w:rPr>
        <w:t>, G lub Z,</w:t>
      </w:r>
      <w:r>
        <w:rPr>
          <w:rFonts w:ascii="Neo Sans Pro" w:eastAsia="Arial" w:hAnsi="Neo Sans Pro"/>
          <w:color w:val="000000"/>
          <w:sz w:val="20"/>
          <w:szCs w:val="20"/>
        </w:rPr>
        <w:t xml:space="preserve"> Zamawiający przyzna poniższą ilość punktów</w:t>
      </w:r>
    </w:p>
    <w:p w:rsidR="00DF5F6A" w:rsidRDefault="00DF5F6A" w:rsidP="00DF5F6A">
      <w:pPr>
        <w:numPr>
          <w:ilvl w:val="0"/>
          <w:numId w:val="4"/>
        </w:numPr>
        <w:tabs>
          <w:tab w:val="clear" w:pos="288"/>
          <w:tab w:val="left" w:pos="1440"/>
        </w:tabs>
        <w:spacing w:before="61" w:after="0" w:line="290" w:lineRule="exact"/>
        <w:ind w:left="1152"/>
        <w:textAlignment w:val="baseline"/>
        <w:rPr>
          <w:rFonts w:ascii="Neo Sans Pro" w:eastAsia="Arial" w:hAnsi="Neo Sans Pro"/>
          <w:color w:val="000000"/>
          <w:spacing w:val="-3"/>
          <w:sz w:val="20"/>
          <w:szCs w:val="20"/>
        </w:rPr>
      </w:pPr>
      <w:r>
        <w:rPr>
          <w:rFonts w:ascii="Neo Sans Pro" w:eastAsia="Arial" w:hAnsi="Neo Sans Pro"/>
          <w:color w:val="000000"/>
          <w:spacing w:val="-3"/>
          <w:sz w:val="20"/>
          <w:szCs w:val="20"/>
        </w:rPr>
        <w:t xml:space="preserve">za 1 zadanie — 5 </w:t>
      </w:r>
      <w:proofErr w:type="spellStart"/>
      <w:r>
        <w:rPr>
          <w:rFonts w:ascii="Neo Sans Pro" w:eastAsia="Arial" w:hAnsi="Neo Sans Pro"/>
          <w:color w:val="000000"/>
          <w:spacing w:val="-3"/>
          <w:sz w:val="20"/>
          <w:szCs w:val="20"/>
        </w:rPr>
        <w:t>pkt</w:t>
      </w:r>
      <w:proofErr w:type="spellEnd"/>
    </w:p>
    <w:p w:rsidR="00DF5F6A" w:rsidRDefault="00DF5F6A" w:rsidP="00DF5F6A">
      <w:pPr>
        <w:numPr>
          <w:ilvl w:val="0"/>
          <w:numId w:val="4"/>
        </w:numPr>
        <w:tabs>
          <w:tab w:val="clear" w:pos="288"/>
          <w:tab w:val="left" w:pos="1440"/>
        </w:tabs>
        <w:spacing w:before="59" w:after="0" w:line="290" w:lineRule="exact"/>
        <w:ind w:left="1152"/>
        <w:textAlignment w:val="baseline"/>
        <w:rPr>
          <w:rFonts w:ascii="Neo Sans Pro" w:eastAsia="Arial" w:hAnsi="Neo Sans Pro"/>
          <w:color w:val="000000"/>
          <w:spacing w:val="-2"/>
          <w:sz w:val="20"/>
          <w:szCs w:val="20"/>
        </w:rPr>
      </w:pPr>
      <w:r>
        <w:rPr>
          <w:rFonts w:ascii="Neo Sans Pro" w:eastAsia="Arial" w:hAnsi="Neo Sans Pro"/>
          <w:color w:val="000000"/>
          <w:spacing w:val="-2"/>
          <w:sz w:val="20"/>
          <w:szCs w:val="20"/>
        </w:rPr>
        <w:t xml:space="preserve">za 2 i więcej zadań — 10 </w:t>
      </w:r>
      <w:proofErr w:type="spellStart"/>
      <w:r>
        <w:rPr>
          <w:rFonts w:ascii="Neo Sans Pro" w:eastAsia="Arial" w:hAnsi="Neo Sans Pro"/>
          <w:color w:val="000000"/>
          <w:spacing w:val="-2"/>
          <w:sz w:val="20"/>
          <w:szCs w:val="20"/>
        </w:rPr>
        <w:t>pkt</w:t>
      </w:r>
      <w:proofErr w:type="spellEnd"/>
    </w:p>
    <w:p w:rsidR="00DF5F6A" w:rsidRDefault="00DF5F6A" w:rsidP="00DF5F6A">
      <w:pPr>
        <w:tabs>
          <w:tab w:val="left" w:pos="1440"/>
        </w:tabs>
        <w:spacing w:before="59" w:after="0" w:line="240" w:lineRule="atLeast"/>
        <w:ind w:left="1151"/>
        <w:textAlignment w:val="baseline"/>
        <w:rPr>
          <w:rFonts w:ascii="Neo Sans Pro" w:eastAsia="Arial" w:hAnsi="Neo Sans Pro"/>
          <w:b/>
          <w:color w:val="000000"/>
          <w:spacing w:val="-2"/>
          <w:sz w:val="20"/>
          <w:szCs w:val="20"/>
        </w:rPr>
      </w:pPr>
    </w:p>
    <w:p w:rsidR="00DF5F6A" w:rsidRDefault="00DF5F6A" w:rsidP="00DF5F6A">
      <w:pPr>
        <w:numPr>
          <w:ilvl w:val="0"/>
          <w:numId w:val="1"/>
        </w:numPr>
        <w:tabs>
          <w:tab w:val="clear" w:pos="360"/>
          <w:tab w:val="left" w:pos="567"/>
        </w:tabs>
        <w:spacing w:after="120"/>
        <w:ind w:left="567" w:hanging="567"/>
        <w:rPr>
          <w:rFonts w:ascii="Neo Sans Pro" w:eastAsia="Lucida Sans Unicode" w:hAnsi="Neo Sans Pro"/>
          <w:color w:val="000000"/>
          <w:sz w:val="20"/>
          <w:szCs w:val="20"/>
        </w:rPr>
      </w:pPr>
      <w:r>
        <w:rPr>
          <w:rFonts w:ascii="Neo Sans Pro" w:hAnsi="Neo Sans Pro"/>
          <w:color w:val="000000"/>
          <w:sz w:val="20"/>
          <w:szCs w:val="20"/>
        </w:rPr>
        <w:t xml:space="preserve">Zgodnie z art. 521 ust. 1 </w:t>
      </w:r>
      <w:proofErr w:type="spellStart"/>
      <w:r>
        <w:rPr>
          <w:rFonts w:ascii="Neo Sans Pro" w:hAnsi="Neo Sans Pro"/>
          <w:color w:val="000000"/>
          <w:sz w:val="20"/>
          <w:szCs w:val="20"/>
        </w:rPr>
        <w:t>Pzp</w:t>
      </w:r>
      <w:proofErr w:type="spellEnd"/>
      <w:r>
        <w:rPr>
          <w:rFonts w:ascii="Neo Sans Pro" w:hAnsi="Neo Sans Pro"/>
          <w:color w:val="000000"/>
          <w:sz w:val="20"/>
          <w:szCs w:val="20"/>
        </w:rPr>
        <w:t xml:space="preserve"> Zamawiający może wnieść odpowiedź na odwołanie do czasu otwarcia rozprawy. W niniejszej sprawie nie doszło jeszcze do otwarcia rozprawy, a zatem Zamawiający jest uprawniony do wniesienia odpowiedzi na odwołanie. </w:t>
      </w:r>
    </w:p>
    <w:p w:rsidR="00DF5F6A" w:rsidRPr="00DF5F6A" w:rsidRDefault="00DF5F6A" w:rsidP="00DF5F6A">
      <w:pPr>
        <w:numPr>
          <w:ilvl w:val="0"/>
          <w:numId w:val="1"/>
        </w:numPr>
        <w:tabs>
          <w:tab w:val="clear" w:pos="360"/>
          <w:tab w:val="left" w:pos="567"/>
        </w:tabs>
        <w:spacing w:after="120"/>
        <w:ind w:left="567" w:hanging="567"/>
        <w:jc w:val="both"/>
        <w:rPr>
          <w:rFonts w:ascii="Neo Sans Pro" w:eastAsia="Lucida Sans Unicode" w:hAnsi="Neo Sans Pro"/>
          <w:color w:val="000000"/>
          <w:sz w:val="20"/>
          <w:szCs w:val="20"/>
        </w:rPr>
      </w:pPr>
      <w:r>
        <w:rPr>
          <w:rFonts w:ascii="Neo Sans Pro" w:hAnsi="Neo Sans Pro"/>
          <w:iCs/>
          <w:color w:val="000000"/>
          <w:sz w:val="20"/>
          <w:szCs w:val="20"/>
          <w:lang w:bidi="pl-PL"/>
        </w:rPr>
        <w:t xml:space="preserve">Zamawiający wskazuje, że w związku z uwzględnieniem odwołania w całości, w jego ocenie zachodzi przesłanka do umorzenia przez Krajową Izbę Odwoławczą postępowania odwoławczego na posiedzeniu niejawnym bez obecności stron na podstawie art. 522 ust. 1 </w:t>
      </w:r>
      <w:proofErr w:type="spellStart"/>
      <w:r>
        <w:rPr>
          <w:rFonts w:ascii="Neo Sans Pro" w:hAnsi="Neo Sans Pro"/>
          <w:iCs/>
          <w:color w:val="000000"/>
          <w:sz w:val="20"/>
          <w:szCs w:val="20"/>
          <w:lang w:bidi="pl-PL"/>
        </w:rPr>
        <w:t>Pzp</w:t>
      </w:r>
      <w:proofErr w:type="spellEnd"/>
      <w:r>
        <w:rPr>
          <w:rFonts w:ascii="Neo Sans Pro" w:hAnsi="Neo Sans Pro"/>
          <w:iCs/>
          <w:color w:val="000000"/>
          <w:sz w:val="20"/>
          <w:szCs w:val="20"/>
          <w:lang w:bidi="pl-PL"/>
        </w:rPr>
        <w:t>.</w:t>
      </w:r>
    </w:p>
    <w:p w:rsidR="00DF5F6A" w:rsidRDefault="00DF5F6A" w:rsidP="00DF5F6A">
      <w:pPr>
        <w:tabs>
          <w:tab w:val="left" w:pos="567"/>
        </w:tabs>
        <w:spacing w:after="120"/>
        <w:ind w:left="567"/>
        <w:jc w:val="both"/>
        <w:rPr>
          <w:rFonts w:ascii="Neo Sans Pro" w:hAnsi="Neo Sans Pro"/>
          <w:iCs/>
          <w:color w:val="000000"/>
          <w:sz w:val="20"/>
          <w:szCs w:val="20"/>
          <w:lang w:bidi="pl-PL"/>
        </w:rPr>
      </w:pPr>
    </w:p>
    <w:p w:rsidR="00DF5F6A" w:rsidRDefault="00DF5F6A" w:rsidP="00DF5F6A">
      <w:pPr>
        <w:tabs>
          <w:tab w:val="left" w:pos="567"/>
        </w:tabs>
        <w:spacing w:after="120"/>
        <w:ind w:left="567"/>
        <w:jc w:val="both"/>
        <w:rPr>
          <w:rFonts w:ascii="Neo Sans Pro" w:eastAsia="Lucida Sans Unicode" w:hAnsi="Neo Sans Pro"/>
          <w:color w:val="000000"/>
          <w:sz w:val="20"/>
          <w:szCs w:val="20"/>
        </w:rPr>
      </w:pPr>
    </w:p>
    <w:p w:rsidR="00DF5F6A" w:rsidRDefault="00DF5F6A" w:rsidP="00DF5F6A">
      <w:pPr>
        <w:spacing w:after="240"/>
        <w:jc w:val="center"/>
        <w:rPr>
          <w:rFonts w:ascii="Neo Sans Pro" w:eastAsia="Calibri" w:hAnsi="Neo Sans Pro"/>
          <w:color w:val="000000"/>
          <w:sz w:val="20"/>
          <w:szCs w:val="20"/>
        </w:rPr>
      </w:pPr>
      <w:r>
        <w:rPr>
          <w:rFonts w:ascii="Neo Sans Pro" w:hAnsi="Neo Sans Pro"/>
          <w:b/>
          <w:color w:val="000000"/>
          <w:sz w:val="20"/>
          <w:szCs w:val="20"/>
        </w:rPr>
        <w:t>UZASADNIENIE</w:t>
      </w:r>
    </w:p>
    <w:p w:rsidR="00DF5F6A" w:rsidRDefault="00DF5F6A" w:rsidP="00DF5F6A">
      <w:pPr>
        <w:spacing w:after="240"/>
        <w:ind w:left="567"/>
        <w:jc w:val="both"/>
        <w:rPr>
          <w:rFonts w:ascii="Neo Sans Pro" w:hAnsi="Neo Sans Pro"/>
          <w:iCs/>
          <w:color w:val="000000"/>
          <w:sz w:val="20"/>
          <w:szCs w:val="20"/>
          <w:lang w:bidi="pl-PL"/>
        </w:rPr>
      </w:pPr>
      <w:r>
        <w:rPr>
          <w:rFonts w:ascii="Neo Sans Pro" w:hAnsi="Neo Sans Pro"/>
          <w:iCs/>
          <w:color w:val="000000"/>
          <w:sz w:val="20"/>
          <w:szCs w:val="20"/>
          <w:lang w:bidi="pl-PL"/>
        </w:rPr>
        <w:t xml:space="preserve">Zamawiający uznał za zasadną argumentację Odwołującego, że uwzględnienie odwołania przyczyni się do </w:t>
      </w:r>
      <w:r>
        <w:rPr>
          <w:rFonts w:ascii="Neo Sans Pro" w:hAnsi="Neo Sans Pro"/>
          <w:b/>
          <w:bCs/>
          <w:iCs/>
          <w:color w:val="000000"/>
          <w:sz w:val="20"/>
          <w:szCs w:val="20"/>
          <w:lang w:bidi="pl-PL"/>
        </w:rPr>
        <w:t>podniesienia poziomu konkurencyjności</w:t>
      </w:r>
      <w:r>
        <w:rPr>
          <w:rFonts w:ascii="Neo Sans Pro" w:hAnsi="Neo Sans Pro"/>
          <w:iCs/>
          <w:color w:val="000000"/>
          <w:sz w:val="20"/>
          <w:szCs w:val="20"/>
          <w:lang w:bidi="pl-PL"/>
        </w:rPr>
        <w:t xml:space="preserve"> w Postępowaniu.</w:t>
      </w:r>
    </w:p>
    <w:p w:rsidR="00DF5F6A" w:rsidRDefault="00DF5F6A" w:rsidP="00DF5F6A">
      <w:pPr>
        <w:spacing w:after="240"/>
        <w:ind w:left="567"/>
        <w:jc w:val="both"/>
        <w:rPr>
          <w:rFonts w:ascii="Neo Sans Pro" w:eastAsia="Arial" w:hAnsi="Neo Sans Pro"/>
          <w:color w:val="000000"/>
          <w:sz w:val="20"/>
          <w:szCs w:val="20"/>
        </w:rPr>
      </w:pPr>
      <w:r>
        <w:rPr>
          <w:rFonts w:ascii="Neo Sans Pro" w:hAnsi="Neo Sans Pro"/>
          <w:iCs/>
          <w:color w:val="000000"/>
          <w:sz w:val="20"/>
          <w:szCs w:val="20"/>
          <w:lang w:bidi="pl-PL"/>
        </w:rPr>
        <w:t>Z</w:t>
      </w:r>
      <w:r>
        <w:rPr>
          <w:rFonts w:ascii="Neo Sans Pro" w:eastAsia="Arial" w:hAnsi="Neo Sans Pro"/>
          <w:color w:val="000000"/>
          <w:sz w:val="20"/>
          <w:szCs w:val="20"/>
        </w:rPr>
        <w:t xml:space="preserve">godnie z art. 241 ust 1 i 2  w zw. z art. 241 ust 1 </w:t>
      </w:r>
      <w:proofErr w:type="spellStart"/>
      <w:r>
        <w:rPr>
          <w:rFonts w:ascii="Neo Sans Pro" w:eastAsia="Arial" w:hAnsi="Neo Sans Pro"/>
          <w:color w:val="000000"/>
          <w:sz w:val="20"/>
          <w:szCs w:val="20"/>
        </w:rPr>
        <w:t>pkt</w:t>
      </w:r>
      <w:proofErr w:type="spellEnd"/>
      <w:r>
        <w:rPr>
          <w:rFonts w:ascii="Neo Sans Pro" w:eastAsia="Arial" w:hAnsi="Neo Sans Pro"/>
          <w:color w:val="000000"/>
          <w:sz w:val="20"/>
          <w:szCs w:val="20"/>
        </w:rPr>
        <w:t xml:space="preserve"> 4 </w:t>
      </w:r>
      <w:proofErr w:type="spellStart"/>
      <w:r>
        <w:rPr>
          <w:rFonts w:ascii="Neo Sans Pro" w:eastAsia="Arial" w:hAnsi="Neo Sans Pro"/>
          <w:color w:val="000000"/>
          <w:sz w:val="20"/>
          <w:szCs w:val="20"/>
        </w:rPr>
        <w:t>pzp</w:t>
      </w:r>
      <w:proofErr w:type="spellEnd"/>
      <w:r>
        <w:rPr>
          <w:rFonts w:ascii="Neo Sans Pro" w:eastAsia="Arial" w:hAnsi="Neo Sans Pro"/>
          <w:color w:val="000000"/>
          <w:sz w:val="20"/>
          <w:szCs w:val="20"/>
        </w:rPr>
        <w:t xml:space="preserve">  kryteria oceny ofert powinny - zgodnie z zasadą proporcjonalności - być związane z przedmiotem zamówienia </w:t>
      </w:r>
      <w:r>
        <w:rPr>
          <w:rFonts w:ascii="Neo Sans Pro" w:eastAsia="Arial" w:hAnsi="Neo Sans Pro"/>
          <w:color w:val="000000"/>
          <w:sz w:val="20"/>
          <w:szCs w:val="20"/>
        </w:rPr>
        <w:br/>
        <w:t xml:space="preserve">i wpływać na jakość wykonania zamówienia </w:t>
      </w:r>
    </w:p>
    <w:p w:rsidR="00DF5F6A" w:rsidRDefault="00DF5F6A" w:rsidP="00DF5F6A">
      <w:pPr>
        <w:spacing w:after="240"/>
        <w:ind w:left="567"/>
        <w:jc w:val="both"/>
        <w:rPr>
          <w:rFonts w:ascii="Neo Sans Pro" w:hAnsi="Neo Sans Pro"/>
          <w:iCs/>
          <w:color w:val="000000"/>
          <w:sz w:val="20"/>
          <w:szCs w:val="20"/>
          <w:lang w:bidi="pl-PL"/>
        </w:rPr>
      </w:pPr>
      <w:r>
        <w:rPr>
          <w:rFonts w:ascii="Neo Sans Pro" w:hAnsi="Neo Sans Pro"/>
          <w:iCs/>
          <w:color w:val="000000"/>
          <w:sz w:val="20"/>
          <w:szCs w:val="20"/>
          <w:lang w:bidi="pl-PL"/>
        </w:rPr>
        <w:t>W związku z powyższym Zamawiający zmodyfikuje treść SWZ zgodnie z żądaniem zawartym w odwołaniu.</w:t>
      </w:r>
    </w:p>
    <w:p w:rsidR="00DF5F6A" w:rsidRDefault="00DF5F6A" w:rsidP="00DF5F6A">
      <w:pPr>
        <w:spacing w:after="240"/>
        <w:ind w:left="567"/>
        <w:jc w:val="both"/>
        <w:rPr>
          <w:rFonts w:ascii="Neo Sans Pro" w:hAnsi="Neo Sans Pro"/>
          <w:iCs/>
          <w:color w:val="000000"/>
          <w:sz w:val="20"/>
          <w:szCs w:val="20"/>
          <w:lang w:bidi="pl-PL"/>
        </w:rPr>
      </w:pPr>
    </w:p>
    <w:p w:rsidR="00DF5F6A" w:rsidRDefault="00DF5F6A" w:rsidP="00DF5F6A">
      <w:pPr>
        <w:spacing w:after="240"/>
        <w:ind w:left="567"/>
        <w:jc w:val="both"/>
        <w:rPr>
          <w:rFonts w:ascii="Neo Sans Pro" w:eastAsia="Calibri" w:hAnsi="Neo Sans Pro"/>
          <w:iCs/>
          <w:color w:val="000000"/>
          <w:sz w:val="20"/>
          <w:szCs w:val="20"/>
          <w:lang w:bidi="pl-PL"/>
        </w:rPr>
      </w:pPr>
    </w:p>
    <w:p w:rsidR="00DF5F6A" w:rsidRPr="00DF5F6A" w:rsidRDefault="00DF5F6A" w:rsidP="00DF5F6A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ab/>
      </w:r>
      <w:r w:rsidRPr="00DF5F6A">
        <w:rPr>
          <w:rFonts w:ascii="Neo Sans Pro" w:hAnsi="Neo Sans Pro" w:cs="Arial"/>
          <w:sz w:val="20"/>
          <w:szCs w:val="20"/>
        </w:rPr>
        <w:t xml:space="preserve">Radom, dnia </w:t>
      </w:r>
      <w:r>
        <w:rPr>
          <w:rFonts w:ascii="Neo Sans Pro" w:hAnsi="Neo Sans Pro" w:cs="Arial"/>
          <w:sz w:val="20"/>
          <w:szCs w:val="20"/>
        </w:rPr>
        <w:t>01</w:t>
      </w:r>
      <w:r w:rsidRPr="00DF5F6A">
        <w:rPr>
          <w:rFonts w:ascii="Neo Sans Pro" w:hAnsi="Neo Sans Pro" w:cs="Arial"/>
          <w:sz w:val="20"/>
          <w:szCs w:val="20"/>
        </w:rPr>
        <w:t>.0</w:t>
      </w:r>
      <w:r>
        <w:rPr>
          <w:rFonts w:ascii="Neo Sans Pro" w:hAnsi="Neo Sans Pro" w:cs="Arial"/>
          <w:sz w:val="20"/>
          <w:szCs w:val="20"/>
        </w:rPr>
        <w:t>6</w:t>
      </w:r>
      <w:r w:rsidRPr="00DF5F6A">
        <w:rPr>
          <w:rFonts w:ascii="Neo Sans Pro" w:hAnsi="Neo Sans Pro" w:cs="Arial"/>
          <w:sz w:val="20"/>
          <w:szCs w:val="20"/>
        </w:rPr>
        <w:t>.2022r.</w:t>
      </w:r>
      <w:r w:rsidRPr="00DF5F6A">
        <w:rPr>
          <w:rFonts w:ascii="Neo Sans Pro" w:eastAsia="Times New Roman" w:hAnsi="Neo Sans Pro" w:cs="Arial"/>
          <w:color w:val="000000"/>
          <w:sz w:val="20"/>
          <w:szCs w:val="20"/>
        </w:rPr>
        <w:t xml:space="preserve">                                               </w:t>
      </w:r>
      <w:r w:rsidRPr="00DF5F6A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DF5F6A">
        <w:rPr>
          <w:rFonts w:ascii="Neo Sans Pro" w:eastAsia="Times New Roman" w:hAnsi="Neo Sans Pro" w:cs="Arial"/>
          <w:color w:val="000000"/>
          <w:sz w:val="20"/>
          <w:szCs w:val="20"/>
        </w:rPr>
        <w:tab/>
        <w:t xml:space="preserve">  Dyrektor  </w:t>
      </w:r>
    </w:p>
    <w:p w:rsidR="00DF5F6A" w:rsidRPr="00DF5F6A" w:rsidRDefault="00DF5F6A" w:rsidP="00DF5F6A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0"/>
          <w:szCs w:val="20"/>
        </w:rPr>
      </w:pPr>
      <w:r w:rsidRPr="00DF5F6A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DF5F6A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DF5F6A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DF5F6A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DF5F6A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DF5F6A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DF5F6A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DF5F6A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>
        <w:rPr>
          <w:rFonts w:ascii="Neo Sans Pro" w:eastAsia="Times New Roman" w:hAnsi="Neo Sans Pro" w:cs="Arial"/>
          <w:color w:val="000000"/>
          <w:sz w:val="20"/>
          <w:szCs w:val="20"/>
        </w:rPr>
        <w:t xml:space="preserve">  </w:t>
      </w:r>
      <w:r w:rsidRPr="00DF5F6A">
        <w:rPr>
          <w:rFonts w:ascii="Neo Sans Pro" w:eastAsia="Times New Roman" w:hAnsi="Neo Sans Pro" w:cs="Arial"/>
          <w:color w:val="000000"/>
          <w:sz w:val="20"/>
          <w:szCs w:val="20"/>
        </w:rPr>
        <w:t>Miejskiego Zarządu Dróg i Komunikacji</w:t>
      </w:r>
    </w:p>
    <w:p w:rsidR="00DF5F6A" w:rsidRPr="00DF5F6A" w:rsidRDefault="00DF5F6A" w:rsidP="00DF5F6A">
      <w:pPr>
        <w:spacing w:after="0" w:line="240" w:lineRule="atLeast"/>
        <w:jc w:val="both"/>
        <w:rPr>
          <w:rFonts w:ascii="Neo Sans Pro" w:eastAsia="Times New Roman" w:hAnsi="Neo Sans Pro" w:cs="Arial"/>
          <w:b/>
          <w:sz w:val="20"/>
          <w:szCs w:val="20"/>
        </w:rPr>
      </w:pPr>
      <w:r w:rsidRPr="00DF5F6A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DF5F6A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DF5F6A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DF5F6A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DF5F6A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DF5F6A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DF5F6A">
        <w:rPr>
          <w:rFonts w:ascii="Neo Sans Pro" w:eastAsia="Times New Roman" w:hAnsi="Neo Sans Pro" w:cs="Arial"/>
          <w:color w:val="000000"/>
          <w:sz w:val="20"/>
          <w:szCs w:val="20"/>
        </w:rPr>
        <w:tab/>
        <w:t xml:space="preserve">                 </w:t>
      </w:r>
      <w:r>
        <w:rPr>
          <w:rFonts w:ascii="Neo Sans Pro" w:eastAsia="Times New Roman" w:hAnsi="Neo Sans Pro" w:cs="Arial"/>
          <w:color w:val="000000"/>
          <w:sz w:val="20"/>
          <w:szCs w:val="20"/>
        </w:rPr>
        <w:t xml:space="preserve">  </w:t>
      </w:r>
      <w:r w:rsidRPr="00DF5F6A">
        <w:rPr>
          <w:rFonts w:ascii="Neo Sans Pro" w:eastAsia="Times New Roman" w:hAnsi="Neo Sans Pro" w:cs="Arial"/>
          <w:color w:val="000000"/>
          <w:sz w:val="20"/>
          <w:szCs w:val="20"/>
        </w:rPr>
        <w:t xml:space="preserve"> </w:t>
      </w:r>
      <w:r w:rsidRPr="00DF5F6A">
        <w:rPr>
          <w:rFonts w:ascii="Neo Sans Pro" w:eastAsia="Times New Roman" w:hAnsi="Neo Sans Pro" w:cs="Arial"/>
          <w:b/>
          <w:i/>
          <w:color w:val="000000"/>
          <w:sz w:val="20"/>
          <w:szCs w:val="20"/>
        </w:rPr>
        <w:t>mgr Piotr Wójcik</w:t>
      </w:r>
    </w:p>
    <w:p w:rsidR="00DF5F6A" w:rsidRPr="00FE4C5C" w:rsidRDefault="00DF5F6A" w:rsidP="00DF5F6A">
      <w:pPr>
        <w:spacing w:after="0" w:line="240" w:lineRule="atLeast"/>
        <w:jc w:val="both"/>
        <w:rPr>
          <w:rFonts w:ascii="Neo Sans Pro" w:hAnsi="Neo Sans Pro" w:cs="Arial"/>
          <w:b/>
          <w:sz w:val="24"/>
          <w:szCs w:val="24"/>
        </w:rPr>
      </w:pPr>
    </w:p>
    <w:p w:rsidR="00000000" w:rsidRDefault="00DF5F6A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C88787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rFonts w:ascii="Trebuchet MS" w:eastAsia="Times New Roman" w:hAnsi="Trebuchet MS" w:cs="Times New Roman" w:hint="default"/>
        <w:b/>
        <w:bCs/>
      </w:rPr>
    </w:lvl>
    <w:lvl w:ilvl="2">
      <w:start w:val="1"/>
      <w:numFmt w:val="upperRoman"/>
      <w:lvlText w:val="%3."/>
      <w:lvlJc w:val="left"/>
      <w:pPr>
        <w:tabs>
          <w:tab w:val="num" w:pos="567"/>
        </w:tabs>
        <w:ind w:left="567" w:hanging="567"/>
      </w:pPr>
      <w:rPr>
        <w:b/>
        <w:bCs/>
      </w:rPr>
    </w:lvl>
    <w:lvl w:ilvl="3">
      <w:start w:val="1"/>
      <w:numFmt w:val="upperRoman"/>
      <w:lvlText w:val="%4."/>
      <w:lvlJc w:val="left"/>
      <w:pPr>
        <w:tabs>
          <w:tab w:val="num" w:pos="567"/>
        </w:tabs>
        <w:ind w:left="567" w:hanging="567"/>
      </w:pPr>
      <w:rPr>
        <w:b/>
        <w:bCs/>
      </w:rPr>
    </w:lvl>
    <w:lvl w:ilvl="4">
      <w:start w:val="1"/>
      <w:numFmt w:val="upperRoman"/>
      <w:lvlText w:val="%5."/>
      <w:lvlJc w:val="left"/>
      <w:pPr>
        <w:tabs>
          <w:tab w:val="num" w:pos="567"/>
        </w:tabs>
        <w:ind w:left="567" w:hanging="567"/>
      </w:pPr>
      <w:rPr>
        <w:b/>
        <w:bCs/>
      </w:rPr>
    </w:lvl>
    <w:lvl w:ilvl="5">
      <w:start w:val="1"/>
      <w:numFmt w:val="upperRoman"/>
      <w:lvlText w:val="%6."/>
      <w:lvlJc w:val="left"/>
      <w:pPr>
        <w:tabs>
          <w:tab w:val="num" w:pos="567"/>
        </w:tabs>
        <w:ind w:left="567" w:hanging="567"/>
      </w:pPr>
      <w:rPr>
        <w:b/>
        <w:bCs/>
      </w:rPr>
    </w:lvl>
    <w:lvl w:ilvl="6">
      <w:start w:val="1"/>
      <w:numFmt w:val="upperRoman"/>
      <w:lvlText w:val="%7."/>
      <w:lvlJc w:val="left"/>
      <w:pPr>
        <w:tabs>
          <w:tab w:val="num" w:pos="567"/>
        </w:tabs>
        <w:ind w:left="567" w:hanging="567"/>
      </w:pPr>
      <w:rPr>
        <w:b/>
        <w:bCs/>
      </w:rPr>
    </w:lvl>
    <w:lvl w:ilvl="7">
      <w:start w:val="1"/>
      <w:numFmt w:val="upperRoman"/>
      <w:lvlText w:val="%8."/>
      <w:lvlJc w:val="left"/>
      <w:pPr>
        <w:tabs>
          <w:tab w:val="num" w:pos="567"/>
        </w:tabs>
        <w:ind w:left="567" w:hanging="567"/>
      </w:pPr>
      <w:rPr>
        <w:b/>
        <w:bCs/>
      </w:rPr>
    </w:lvl>
    <w:lvl w:ilvl="8">
      <w:start w:val="1"/>
      <w:numFmt w:val="upperRoman"/>
      <w:lvlText w:val="%9."/>
      <w:lvlJc w:val="left"/>
      <w:pPr>
        <w:tabs>
          <w:tab w:val="num" w:pos="567"/>
        </w:tabs>
        <w:ind w:left="567" w:hanging="567"/>
      </w:pPr>
      <w:rPr>
        <w:b/>
        <w:bCs/>
      </w:rPr>
    </w:lvl>
  </w:abstractNum>
  <w:abstractNum w:abstractNumId="1">
    <w:nsid w:val="0B846D2F"/>
    <w:multiLevelType w:val="multilevel"/>
    <w:tmpl w:val="CD86260C"/>
    <w:lvl w:ilvl="0">
      <w:numFmt w:val="bullet"/>
      <w:lvlText w:val="·"/>
      <w:lvlJc w:val="left"/>
      <w:pPr>
        <w:tabs>
          <w:tab w:val="left" w:pos="288"/>
        </w:tabs>
        <w:ind w:left="0" w:firstLine="0"/>
      </w:pPr>
      <w:rPr>
        <w:rFonts w:ascii="Symbol" w:eastAsia="Symbol" w:hAnsi="Symbol"/>
        <w:color w:val="000000"/>
        <w:spacing w:val="-3"/>
        <w:w w:val="100"/>
        <w:sz w:val="22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FDF43E6"/>
    <w:multiLevelType w:val="multilevel"/>
    <w:tmpl w:val="1B6ED15C"/>
    <w:lvl w:ilvl="0">
      <w:numFmt w:val="bullet"/>
      <w:lvlText w:val="·"/>
      <w:lvlJc w:val="left"/>
      <w:pPr>
        <w:tabs>
          <w:tab w:val="left" w:pos="432"/>
        </w:tabs>
        <w:ind w:left="0" w:firstLine="0"/>
      </w:pPr>
      <w:rPr>
        <w:rFonts w:ascii="Symbol" w:eastAsia="Symbol" w:hAnsi="Symbol"/>
        <w:b/>
        <w:color w:val="000000"/>
        <w:spacing w:val="-4"/>
        <w:w w:val="100"/>
        <w:sz w:val="21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09B7159"/>
    <w:multiLevelType w:val="multilevel"/>
    <w:tmpl w:val="5F2C70DA"/>
    <w:lvl w:ilvl="0">
      <w:start w:val="1"/>
      <w:numFmt w:val="lowerLetter"/>
      <w:lvlText w:val="%1)"/>
      <w:lvlJc w:val="left"/>
      <w:pPr>
        <w:tabs>
          <w:tab w:val="left" w:pos="288"/>
        </w:tabs>
        <w:ind w:left="0" w:firstLine="0"/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F5F6A"/>
    <w:rsid w:val="00D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semiHidden/>
    <w:unhideWhenUsed/>
    <w:qFormat/>
    <w:rsid w:val="00DF5F6A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F5F6A"/>
    <w:rPr>
      <w:rFonts w:ascii="Arial Unicode MS" w:eastAsia="Arial Unicode MS" w:hAnsi="Arial Unicode MS" w:cs="Times New Roman"/>
      <w:b/>
      <w:color w:val="000080"/>
      <w:szCs w:val="20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DF5F6A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DF5F6A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F5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2022-06-01T07:52:00Z</dcterms:created>
  <dcterms:modified xsi:type="dcterms:W3CDTF">2022-06-01T07:56:00Z</dcterms:modified>
</cp:coreProperties>
</file>